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42AC" w14:textId="77777777" w:rsidR="00A55E40" w:rsidRDefault="00A55E40">
      <w:pPr>
        <w:rPr>
          <w:lang w:val="en-US"/>
        </w:rPr>
      </w:pPr>
    </w:p>
    <w:p w14:paraId="5D6CF933" w14:textId="77777777" w:rsidR="002B518A" w:rsidRDefault="002B518A">
      <w:pPr>
        <w:rPr>
          <w:lang w:val="en-US"/>
        </w:rPr>
      </w:pPr>
    </w:p>
    <w:p w14:paraId="1F39F158" w14:textId="2DF0D4EB" w:rsidR="002B518A" w:rsidRPr="00EF1243" w:rsidRDefault="002B518A" w:rsidP="002B518A">
      <w:pPr>
        <w:jc w:val="both"/>
        <w:rPr>
          <w:b/>
          <w:bCs/>
          <w:sz w:val="26"/>
          <w:szCs w:val="26"/>
          <w:lang w:val="en-US"/>
        </w:rPr>
      </w:pPr>
      <w:r w:rsidRPr="00EF1243">
        <w:rPr>
          <w:b/>
          <w:bCs/>
          <w:sz w:val="26"/>
          <w:szCs w:val="26"/>
          <w:lang w:val="en-US"/>
        </w:rPr>
        <w:t>Judgement</w:t>
      </w:r>
      <w:r w:rsidR="000A2E60">
        <w:rPr>
          <w:b/>
          <w:bCs/>
          <w:sz w:val="26"/>
          <w:szCs w:val="26"/>
          <w:lang w:val="en-US"/>
        </w:rPr>
        <w:t>,</w:t>
      </w:r>
      <w:r w:rsidRPr="00EF1243">
        <w:rPr>
          <w:b/>
          <w:bCs/>
          <w:sz w:val="26"/>
          <w:szCs w:val="26"/>
          <w:lang w:val="en-US"/>
        </w:rPr>
        <w:t xml:space="preserve"> Academic Responsibility</w:t>
      </w:r>
      <w:r w:rsidR="000A2E60">
        <w:rPr>
          <w:b/>
          <w:bCs/>
          <w:sz w:val="26"/>
          <w:szCs w:val="26"/>
          <w:lang w:val="en-US"/>
        </w:rPr>
        <w:t xml:space="preserve"> &amp; Palestine</w:t>
      </w:r>
      <w:r w:rsidRPr="00EF1243">
        <w:rPr>
          <w:b/>
          <w:bCs/>
          <w:sz w:val="26"/>
          <w:szCs w:val="26"/>
          <w:lang w:val="en-US"/>
        </w:rPr>
        <w:t xml:space="preserve">: </w:t>
      </w:r>
    </w:p>
    <w:p w14:paraId="435B084C" w14:textId="7C10DCBA" w:rsidR="002B518A" w:rsidRDefault="000A2E60" w:rsidP="002B518A">
      <w:pPr>
        <w:jc w:val="both"/>
        <w:rPr>
          <w:lang w:val="en-US"/>
        </w:rPr>
      </w:pPr>
      <w:r>
        <w:rPr>
          <w:b/>
          <w:bCs/>
          <w:sz w:val="26"/>
          <w:szCs w:val="26"/>
          <w:lang w:val="en-US"/>
        </w:rPr>
        <w:t>Neutrality as a Practice</w:t>
      </w:r>
    </w:p>
    <w:p w14:paraId="653B1BBD" w14:textId="38B216C6" w:rsidR="002B518A" w:rsidRDefault="002B518A" w:rsidP="002B518A">
      <w:pPr>
        <w:jc w:val="both"/>
        <w:rPr>
          <w:lang w:val="en-US"/>
        </w:rPr>
      </w:pPr>
      <w:r>
        <w:rPr>
          <w:lang w:val="en-US"/>
        </w:rPr>
        <w:t>Christopher Parker</w:t>
      </w:r>
    </w:p>
    <w:p w14:paraId="1BDFB881" w14:textId="77777777" w:rsidR="002B518A" w:rsidRDefault="002B518A" w:rsidP="002B518A">
      <w:pPr>
        <w:jc w:val="both"/>
        <w:rPr>
          <w:lang w:val="en-US"/>
        </w:rPr>
      </w:pPr>
    </w:p>
    <w:p w14:paraId="0CB1382D" w14:textId="340DB410" w:rsidR="002B518A" w:rsidRPr="002B518A" w:rsidRDefault="002B518A" w:rsidP="002B518A">
      <w:pPr>
        <w:jc w:val="both"/>
        <w:rPr>
          <w:b/>
          <w:bCs/>
          <w:lang w:val="en-US"/>
        </w:rPr>
      </w:pPr>
      <w:r w:rsidRPr="002B518A">
        <w:rPr>
          <w:b/>
          <w:bCs/>
          <w:lang w:val="en-US"/>
        </w:rPr>
        <w:t>Abstract:</w:t>
      </w:r>
    </w:p>
    <w:p w14:paraId="27A41C52" w14:textId="1F59196C" w:rsidR="002B518A" w:rsidRPr="00EF1243" w:rsidRDefault="002B518A" w:rsidP="002B518A">
      <w:pPr>
        <w:jc w:val="both"/>
        <w:rPr>
          <w:i/>
          <w:iCs/>
          <w:sz w:val="22"/>
          <w:szCs w:val="22"/>
          <w:lang w:val="en-US"/>
        </w:rPr>
      </w:pPr>
      <w:r w:rsidRPr="00EF1243">
        <w:rPr>
          <w:i/>
          <w:iCs/>
          <w:sz w:val="22"/>
          <w:szCs w:val="22"/>
          <w:lang w:val="en-US"/>
        </w:rPr>
        <w:t xml:space="preserve">What might it mean to </w:t>
      </w:r>
      <w:r>
        <w:rPr>
          <w:i/>
          <w:iCs/>
          <w:sz w:val="22"/>
          <w:szCs w:val="22"/>
          <w:lang w:val="en-US"/>
        </w:rPr>
        <w:t>claim</w:t>
      </w:r>
      <w:r w:rsidRPr="00EF1243">
        <w:rPr>
          <w:i/>
          <w:iCs/>
          <w:sz w:val="22"/>
          <w:szCs w:val="22"/>
          <w:lang w:val="en-US"/>
        </w:rPr>
        <w:t xml:space="preserve"> that </w:t>
      </w:r>
      <w:r>
        <w:rPr>
          <w:i/>
          <w:iCs/>
          <w:sz w:val="22"/>
          <w:szCs w:val="22"/>
          <w:lang w:val="en-US"/>
        </w:rPr>
        <w:t xml:space="preserve">the institution of </w:t>
      </w:r>
      <w:r w:rsidRPr="00EF1243">
        <w:rPr>
          <w:i/>
          <w:iCs/>
          <w:sz w:val="22"/>
          <w:szCs w:val="22"/>
          <w:lang w:val="en-US"/>
        </w:rPr>
        <w:t xml:space="preserve">science, </w:t>
      </w:r>
      <w:r>
        <w:rPr>
          <w:i/>
          <w:iCs/>
          <w:sz w:val="22"/>
          <w:szCs w:val="22"/>
          <w:lang w:val="en-US"/>
        </w:rPr>
        <w:t>together with</w:t>
      </w:r>
      <w:r w:rsidRPr="00EF1243">
        <w:rPr>
          <w:i/>
          <w:iCs/>
          <w:sz w:val="22"/>
          <w:szCs w:val="22"/>
          <w:lang w:val="en-US"/>
        </w:rPr>
        <w:t xml:space="preserve"> the universit</w:t>
      </w:r>
      <w:r>
        <w:rPr>
          <w:i/>
          <w:iCs/>
          <w:sz w:val="22"/>
          <w:szCs w:val="22"/>
          <w:lang w:val="en-US"/>
        </w:rPr>
        <w:t>ies within which science is taught and practiced</w:t>
      </w:r>
      <w:r w:rsidRPr="00EF1243">
        <w:rPr>
          <w:i/>
          <w:iCs/>
          <w:sz w:val="22"/>
          <w:szCs w:val="22"/>
          <w:lang w:val="en-US"/>
        </w:rPr>
        <w:t>, should be</w:t>
      </w:r>
      <w:r>
        <w:rPr>
          <w:i/>
          <w:iCs/>
          <w:sz w:val="22"/>
          <w:szCs w:val="22"/>
          <w:lang w:val="en-US"/>
        </w:rPr>
        <w:t xml:space="preserve"> </w:t>
      </w:r>
      <w:r w:rsidRPr="00EF1243">
        <w:rPr>
          <w:i/>
          <w:iCs/>
          <w:sz w:val="22"/>
          <w:szCs w:val="22"/>
          <w:lang w:val="en-US"/>
        </w:rPr>
        <w:t>“value-neutral?</w:t>
      </w:r>
      <w:r>
        <w:rPr>
          <w:i/>
          <w:iCs/>
          <w:sz w:val="22"/>
          <w:szCs w:val="22"/>
          <w:lang w:val="en-US"/>
        </w:rPr>
        <w:t>”</w:t>
      </w:r>
      <w:r w:rsidRPr="00EF1243">
        <w:rPr>
          <w:i/>
          <w:iCs/>
          <w:sz w:val="22"/>
          <w:szCs w:val="22"/>
          <w:lang w:val="en-US"/>
        </w:rPr>
        <w:t xml:space="preserve"> </w:t>
      </w:r>
      <w:r>
        <w:rPr>
          <w:i/>
          <w:iCs/>
          <w:sz w:val="22"/>
          <w:szCs w:val="22"/>
          <w:lang w:val="en-US"/>
        </w:rPr>
        <w:t>And</w:t>
      </w:r>
      <w:r w:rsidRPr="00EF1243">
        <w:rPr>
          <w:i/>
          <w:iCs/>
          <w:sz w:val="22"/>
          <w:szCs w:val="22"/>
          <w:lang w:val="en-US"/>
        </w:rPr>
        <w:t xml:space="preserve"> what might </w:t>
      </w:r>
      <w:r>
        <w:rPr>
          <w:i/>
          <w:iCs/>
          <w:sz w:val="22"/>
          <w:szCs w:val="22"/>
          <w:lang w:val="en-US"/>
        </w:rPr>
        <w:t>such a claim imply</w:t>
      </w:r>
      <w:r w:rsidRPr="00EF1243">
        <w:rPr>
          <w:i/>
          <w:iCs/>
          <w:sz w:val="22"/>
          <w:szCs w:val="22"/>
          <w:lang w:val="en-US"/>
        </w:rPr>
        <w:t xml:space="preserve"> </w:t>
      </w:r>
      <w:r>
        <w:rPr>
          <w:i/>
          <w:iCs/>
          <w:sz w:val="22"/>
          <w:szCs w:val="22"/>
          <w:lang w:val="en-US"/>
        </w:rPr>
        <w:t>f</w:t>
      </w:r>
      <w:r w:rsidRPr="00EF1243">
        <w:rPr>
          <w:i/>
          <w:iCs/>
          <w:sz w:val="22"/>
          <w:szCs w:val="22"/>
          <w:lang w:val="en-US"/>
        </w:rPr>
        <w:t>or the moral</w:t>
      </w:r>
      <w:r>
        <w:rPr>
          <w:i/>
          <w:iCs/>
          <w:sz w:val="22"/>
          <w:szCs w:val="22"/>
          <w:lang w:val="en-US"/>
        </w:rPr>
        <w:t>, political and academic</w:t>
      </w:r>
      <w:r w:rsidRPr="00EF1243">
        <w:rPr>
          <w:i/>
          <w:iCs/>
          <w:sz w:val="22"/>
          <w:szCs w:val="22"/>
          <w:lang w:val="en-US"/>
        </w:rPr>
        <w:t xml:space="preserve"> responsibilities of </w:t>
      </w:r>
      <w:r>
        <w:rPr>
          <w:i/>
          <w:iCs/>
          <w:sz w:val="22"/>
          <w:szCs w:val="22"/>
          <w:lang w:val="en-US"/>
        </w:rPr>
        <w:t xml:space="preserve">both </w:t>
      </w:r>
      <w:r w:rsidRPr="00EF1243">
        <w:rPr>
          <w:i/>
          <w:iCs/>
          <w:sz w:val="22"/>
          <w:szCs w:val="22"/>
          <w:lang w:val="en-US"/>
        </w:rPr>
        <w:t>individual scholars and</w:t>
      </w:r>
      <w:r>
        <w:rPr>
          <w:i/>
          <w:iCs/>
          <w:sz w:val="22"/>
          <w:szCs w:val="22"/>
          <w:lang w:val="en-US"/>
        </w:rPr>
        <w:t xml:space="preserve"> </w:t>
      </w:r>
      <w:r w:rsidRPr="00EF1243">
        <w:rPr>
          <w:i/>
          <w:iCs/>
          <w:sz w:val="22"/>
          <w:szCs w:val="22"/>
          <w:lang w:val="en-US"/>
        </w:rPr>
        <w:t xml:space="preserve">the academic community as a whole? </w:t>
      </w:r>
      <w:r>
        <w:rPr>
          <w:i/>
          <w:iCs/>
          <w:sz w:val="22"/>
          <w:szCs w:val="22"/>
          <w:lang w:val="en-US"/>
        </w:rPr>
        <w:t xml:space="preserve">Today, as we </w:t>
      </w:r>
      <w:r w:rsidR="00903376">
        <w:rPr>
          <w:i/>
          <w:iCs/>
          <w:sz w:val="22"/>
          <w:szCs w:val="22"/>
          <w:lang w:val="en-US"/>
        </w:rPr>
        <w:t>face</w:t>
      </w:r>
      <w:r>
        <w:rPr>
          <w:i/>
          <w:iCs/>
          <w:sz w:val="22"/>
          <w:szCs w:val="22"/>
          <w:lang w:val="en-US"/>
        </w:rPr>
        <w:t xml:space="preserve"> challenges ranging from </w:t>
      </w:r>
      <w:proofErr w:type="spellStart"/>
      <w:r>
        <w:rPr>
          <w:i/>
          <w:iCs/>
          <w:sz w:val="22"/>
          <w:szCs w:val="22"/>
          <w:lang w:val="en-US"/>
        </w:rPr>
        <w:t>GenAI</w:t>
      </w:r>
      <w:proofErr w:type="spellEnd"/>
      <w:r>
        <w:rPr>
          <w:i/>
          <w:iCs/>
          <w:sz w:val="22"/>
          <w:szCs w:val="22"/>
          <w:lang w:val="en-US"/>
        </w:rPr>
        <w:t xml:space="preserve"> to genocide, such questions seem particularly urgent.</w:t>
      </w:r>
    </w:p>
    <w:p w14:paraId="5DDF3687" w14:textId="77777777" w:rsidR="002B518A" w:rsidRPr="00EF1243" w:rsidRDefault="002B518A" w:rsidP="002B518A">
      <w:pPr>
        <w:jc w:val="both"/>
        <w:rPr>
          <w:i/>
          <w:iCs/>
          <w:sz w:val="22"/>
          <w:szCs w:val="22"/>
          <w:lang w:val="en-US"/>
        </w:rPr>
      </w:pPr>
    </w:p>
    <w:p w14:paraId="573BB07C" w14:textId="488CE4BA" w:rsidR="002B518A" w:rsidRDefault="002B518A" w:rsidP="002B518A">
      <w:pPr>
        <w:jc w:val="both"/>
        <w:rPr>
          <w:i/>
          <w:iCs/>
          <w:sz w:val="22"/>
          <w:szCs w:val="22"/>
          <w:lang w:val="en-US"/>
        </w:rPr>
      </w:pPr>
      <w:r>
        <w:rPr>
          <w:i/>
          <w:iCs/>
          <w:sz w:val="22"/>
          <w:szCs w:val="22"/>
          <w:lang w:val="en-US"/>
        </w:rPr>
        <w:t>Consider Palestine. For more than a year now</w:t>
      </w:r>
      <w:r w:rsidRPr="00EF1243">
        <w:rPr>
          <w:i/>
          <w:iCs/>
          <w:sz w:val="22"/>
          <w:szCs w:val="22"/>
          <w:lang w:val="en-US"/>
        </w:rPr>
        <w:t xml:space="preserve">, voices within (and </w:t>
      </w:r>
      <w:r>
        <w:rPr>
          <w:i/>
          <w:iCs/>
          <w:sz w:val="22"/>
          <w:szCs w:val="22"/>
          <w:lang w:val="en-US"/>
        </w:rPr>
        <w:t>beyond</w:t>
      </w:r>
      <w:r w:rsidRPr="00EF1243">
        <w:rPr>
          <w:i/>
          <w:iCs/>
          <w:sz w:val="22"/>
          <w:szCs w:val="22"/>
          <w:lang w:val="en-US"/>
        </w:rPr>
        <w:t xml:space="preserve">) higher education have invoked the notion of “academic neutrality” to counter </w:t>
      </w:r>
      <w:r>
        <w:rPr>
          <w:i/>
          <w:iCs/>
          <w:sz w:val="22"/>
          <w:szCs w:val="22"/>
          <w:lang w:val="en-US"/>
        </w:rPr>
        <w:t>the growing number of students and scholars</w:t>
      </w:r>
      <w:r w:rsidRPr="00EF1243">
        <w:rPr>
          <w:i/>
          <w:iCs/>
          <w:sz w:val="22"/>
          <w:szCs w:val="22"/>
          <w:lang w:val="en-US"/>
        </w:rPr>
        <w:t xml:space="preserve"> </w:t>
      </w:r>
      <w:r>
        <w:rPr>
          <w:i/>
          <w:iCs/>
          <w:sz w:val="22"/>
          <w:szCs w:val="22"/>
          <w:lang w:val="en-US"/>
        </w:rPr>
        <w:t xml:space="preserve">calling for their institutions to break or suspend ties with </w:t>
      </w:r>
      <w:r w:rsidRPr="00EF1243">
        <w:rPr>
          <w:i/>
          <w:iCs/>
          <w:sz w:val="22"/>
          <w:szCs w:val="22"/>
          <w:lang w:val="en-US"/>
        </w:rPr>
        <w:t xml:space="preserve">Israel. </w:t>
      </w:r>
      <w:r>
        <w:rPr>
          <w:i/>
          <w:iCs/>
          <w:sz w:val="22"/>
          <w:szCs w:val="22"/>
          <w:lang w:val="en-US"/>
        </w:rPr>
        <w:t>S</w:t>
      </w:r>
      <w:r w:rsidRPr="00EF1243">
        <w:rPr>
          <w:i/>
          <w:iCs/>
          <w:sz w:val="22"/>
          <w:szCs w:val="22"/>
          <w:lang w:val="en-US"/>
        </w:rPr>
        <w:t>ome</w:t>
      </w:r>
      <w:r>
        <w:rPr>
          <w:i/>
          <w:iCs/>
          <w:sz w:val="22"/>
          <w:szCs w:val="22"/>
          <w:lang w:val="en-US"/>
        </w:rPr>
        <w:t xml:space="preserve"> of these voices </w:t>
      </w:r>
      <w:r w:rsidRPr="00EF1243">
        <w:rPr>
          <w:i/>
          <w:iCs/>
          <w:sz w:val="22"/>
          <w:szCs w:val="22"/>
          <w:lang w:val="en-US"/>
        </w:rPr>
        <w:t>have</w:t>
      </w:r>
      <w:r>
        <w:rPr>
          <w:i/>
          <w:iCs/>
          <w:sz w:val="22"/>
          <w:szCs w:val="22"/>
          <w:lang w:val="en-US"/>
        </w:rPr>
        <w:t xml:space="preserve"> even</w:t>
      </w:r>
      <w:r w:rsidRPr="00EF1243">
        <w:rPr>
          <w:i/>
          <w:iCs/>
          <w:sz w:val="22"/>
          <w:szCs w:val="22"/>
          <w:lang w:val="en-US"/>
        </w:rPr>
        <w:t xml:space="preserve"> gone so far as to question whether academics </w:t>
      </w:r>
      <w:r>
        <w:rPr>
          <w:i/>
          <w:iCs/>
          <w:sz w:val="22"/>
          <w:szCs w:val="22"/>
          <w:lang w:val="en-US"/>
        </w:rPr>
        <w:t>can legitimately</w:t>
      </w:r>
      <w:r>
        <w:rPr>
          <w:i/>
          <w:iCs/>
          <w:sz w:val="22"/>
          <w:szCs w:val="22"/>
          <w:lang w:val="en-US"/>
        </w:rPr>
        <w:t xml:space="preserve"> </w:t>
      </w:r>
      <w:r w:rsidRPr="00EF1243">
        <w:rPr>
          <w:i/>
          <w:iCs/>
          <w:sz w:val="22"/>
          <w:szCs w:val="22"/>
          <w:lang w:val="en-US"/>
        </w:rPr>
        <w:t>take a stand on whether Israeli’s crimes</w:t>
      </w:r>
      <w:r>
        <w:rPr>
          <w:i/>
          <w:iCs/>
          <w:sz w:val="22"/>
          <w:szCs w:val="22"/>
          <w:lang w:val="en-US"/>
        </w:rPr>
        <w:t xml:space="preserve"> in Gaza</w:t>
      </w:r>
      <w:r w:rsidRPr="00EF1243">
        <w:rPr>
          <w:i/>
          <w:iCs/>
          <w:sz w:val="22"/>
          <w:szCs w:val="22"/>
          <w:lang w:val="en-US"/>
        </w:rPr>
        <w:t xml:space="preserve"> amount to genocide. To do so, they suggest, </w:t>
      </w:r>
      <w:r>
        <w:rPr>
          <w:i/>
          <w:iCs/>
          <w:sz w:val="22"/>
          <w:szCs w:val="22"/>
          <w:lang w:val="en-US"/>
        </w:rPr>
        <w:t>is</w:t>
      </w:r>
      <w:r w:rsidRPr="00EF1243">
        <w:rPr>
          <w:i/>
          <w:iCs/>
          <w:sz w:val="22"/>
          <w:szCs w:val="22"/>
          <w:lang w:val="en-US"/>
        </w:rPr>
        <w:t xml:space="preserve"> to </w:t>
      </w:r>
      <w:r>
        <w:rPr>
          <w:i/>
          <w:iCs/>
          <w:sz w:val="22"/>
          <w:szCs w:val="22"/>
          <w:lang w:val="en-US"/>
        </w:rPr>
        <w:t>take</w:t>
      </w:r>
      <w:r w:rsidRPr="00EF1243">
        <w:rPr>
          <w:i/>
          <w:iCs/>
          <w:sz w:val="22"/>
          <w:szCs w:val="22"/>
          <w:lang w:val="en-US"/>
        </w:rPr>
        <w:t xml:space="preserve"> sides in a “political dispute,” and thus to </w:t>
      </w:r>
      <w:r>
        <w:rPr>
          <w:i/>
          <w:iCs/>
          <w:sz w:val="22"/>
          <w:szCs w:val="22"/>
          <w:lang w:val="en-US"/>
        </w:rPr>
        <w:t>invoke judgement</w:t>
      </w:r>
      <w:r w:rsidRPr="00EF1243">
        <w:rPr>
          <w:i/>
          <w:iCs/>
          <w:sz w:val="22"/>
          <w:szCs w:val="22"/>
          <w:lang w:val="en-US"/>
        </w:rPr>
        <w:t xml:space="preserve"> on a question that falls outside the concerns and competences of science. </w:t>
      </w:r>
      <w:r w:rsidR="00233C79">
        <w:rPr>
          <w:i/>
          <w:iCs/>
          <w:sz w:val="22"/>
          <w:szCs w:val="22"/>
          <w:lang w:val="en-US"/>
        </w:rPr>
        <w:t xml:space="preserve">Drawing on a discussion of occupation, apartheid and genocide—three legal terms that have been applied to characterize Israel’s relation to the Palestinian people and their land—my talk will examine the implications of </w:t>
      </w:r>
      <w:r w:rsidR="00233C79">
        <w:rPr>
          <w:i/>
          <w:iCs/>
          <w:sz w:val="22"/>
          <w:szCs w:val="22"/>
          <w:lang w:val="en-US"/>
        </w:rPr>
        <w:t>invoking academic neutrality in this way</w:t>
      </w:r>
      <w:r w:rsidR="00233C79">
        <w:rPr>
          <w:i/>
          <w:iCs/>
          <w:sz w:val="22"/>
          <w:szCs w:val="22"/>
          <w:lang w:val="en-US"/>
        </w:rPr>
        <w:t>.</w:t>
      </w:r>
    </w:p>
    <w:p w14:paraId="616C724B" w14:textId="77777777" w:rsidR="002B518A" w:rsidRDefault="002B518A" w:rsidP="002B518A">
      <w:pPr>
        <w:jc w:val="both"/>
        <w:rPr>
          <w:i/>
          <w:iCs/>
          <w:sz w:val="22"/>
          <w:szCs w:val="22"/>
          <w:lang w:val="en-US"/>
        </w:rPr>
      </w:pPr>
    </w:p>
    <w:p w14:paraId="4AD52C51" w14:textId="50F21732" w:rsidR="001541C7" w:rsidRDefault="002B518A" w:rsidP="002B518A">
      <w:pPr>
        <w:jc w:val="both"/>
        <w:rPr>
          <w:i/>
          <w:iCs/>
          <w:sz w:val="22"/>
          <w:szCs w:val="22"/>
          <w:lang w:val="en-US"/>
        </w:rPr>
      </w:pPr>
      <w:r w:rsidRPr="00EF1243">
        <w:rPr>
          <w:i/>
          <w:iCs/>
          <w:sz w:val="22"/>
          <w:szCs w:val="22"/>
          <w:lang w:val="en-US"/>
        </w:rPr>
        <w:t xml:space="preserve">Ultimately, I argue that the </w:t>
      </w:r>
      <w:r>
        <w:rPr>
          <w:i/>
          <w:iCs/>
          <w:sz w:val="22"/>
          <w:szCs w:val="22"/>
          <w:lang w:val="en-US"/>
        </w:rPr>
        <w:t>no</w:t>
      </w:r>
      <w:r w:rsidRPr="00EF1243">
        <w:rPr>
          <w:i/>
          <w:iCs/>
          <w:sz w:val="22"/>
          <w:szCs w:val="22"/>
          <w:lang w:val="en-US"/>
        </w:rPr>
        <w:t>t</w:t>
      </w:r>
      <w:r>
        <w:rPr>
          <w:i/>
          <w:iCs/>
          <w:sz w:val="22"/>
          <w:szCs w:val="22"/>
          <w:lang w:val="en-US"/>
        </w:rPr>
        <w:t>ion</w:t>
      </w:r>
      <w:r w:rsidR="00FE2D78">
        <w:rPr>
          <w:i/>
          <w:iCs/>
          <w:sz w:val="22"/>
          <w:szCs w:val="22"/>
          <w:lang w:val="en-US"/>
        </w:rPr>
        <w:t xml:space="preserve"> of</w:t>
      </w:r>
      <w:r w:rsidRPr="00EF1243">
        <w:rPr>
          <w:i/>
          <w:iCs/>
          <w:sz w:val="22"/>
          <w:szCs w:val="22"/>
          <w:lang w:val="en-US"/>
        </w:rPr>
        <w:t xml:space="preserve"> “value</w:t>
      </w:r>
      <w:r>
        <w:rPr>
          <w:i/>
          <w:iCs/>
          <w:sz w:val="22"/>
          <w:szCs w:val="22"/>
          <w:lang w:val="en-US"/>
        </w:rPr>
        <w:t>-</w:t>
      </w:r>
      <w:r w:rsidRPr="00EF1243">
        <w:rPr>
          <w:i/>
          <w:iCs/>
          <w:sz w:val="22"/>
          <w:szCs w:val="22"/>
          <w:lang w:val="en-US"/>
        </w:rPr>
        <w:t>neutral” science is</w:t>
      </w:r>
      <w:r w:rsidR="000A2E60">
        <w:rPr>
          <w:i/>
          <w:iCs/>
          <w:sz w:val="22"/>
          <w:szCs w:val="22"/>
          <w:lang w:val="en-US"/>
        </w:rPr>
        <w:t xml:space="preserve"> necessarily</w:t>
      </w:r>
      <w:r w:rsidRPr="00EF1243">
        <w:rPr>
          <w:i/>
          <w:iCs/>
          <w:sz w:val="22"/>
          <w:szCs w:val="22"/>
          <w:lang w:val="en-US"/>
        </w:rPr>
        <w:t xml:space="preserve"> incoherent, if only because neutrality itself is a value. </w:t>
      </w:r>
      <w:r w:rsidR="00233C79">
        <w:rPr>
          <w:i/>
          <w:iCs/>
          <w:sz w:val="22"/>
          <w:szCs w:val="22"/>
          <w:lang w:val="en-US"/>
        </w:rPr>
        <w:t>But, in</w:t>
      </w:r>
      <w:r>
        <w:rPr>
          <w:i/>
          <w:iCs/>
          <w:sz w:val="22"/>
          <w:szCs w:val="22"/>
          <w:lang w:val="en-US"/>
        </w:rPr>
        <w:t xml:space="preserve"> arguing against “value-neutrality</w:t>
      </w:r>
      <w:r w:rsidR="00FE2D78">
        <w:rPr>
          <w:i/>
          <w:iCs/>
          <w:sz w:val="22"/>
          <w:szCs w:val="22"/>
          <w:lang w:val="en-US"/>
        </w:rPr>
        <w:t>,</w:t>
      </w:r>
      <w:r>
        <w:rPr>
          <w:i/>
          <w:iCs/>
          <w:sz w:val="22"/>
          <w:szCs w:val="22"/>
          <w:lang w:val="en-US"/>
        </w:rPr>
        <w:t xml:space="preserve">” I don’t mean to imply that neutrality has no value. </w:t>
      </w:r>
      <w:r>
        <w:rPr>
          <w:i/>
          <w:iCs/>
          <w:sz w:val="22"/>
          <w:szCs w:val="22"/>
          <w:lang w:val="en-US"/>
        </w:rPr>
        <w:t>Rather, I suggest that how we conceptualize neutrality, and how we situate</w:t>
      </w:r>
      <w:r w:rsidR="000A2E60">
        <w:rPr>
          <w:i/>
          <w:iCs/>
          <w:sz w:val="22"/>
          <w:szCs w:val="22"/>
          <w:lang w:val="en-US"/>
        </w:rPr>
        <w:t xml:space="preserve"> our</w:t>
      </w:r>
      <w:r>
        <w:rPr>
          <w:i/>
          <w:iCs/>
          <w:sz w:val="22"/>
          <w:szCs w:val="22"/>
          <w:lang w:val="en-US"/>
        </w:rPr>
        <w:t xml:space="preserve"> concept in relation to the exercise of judgement, matters. Those arguing for “academic neutrality” </w:t>
      </w:r>
      <w:r w:rsidR="00233C79">
        <w:rPr>
          <w:i/>
          <w:iCs/>
          <w:sz w:val="22"/>
          <w:szCs w:val="22"/>
          <w:lang w:val="en-US"/>
        </w:rPr>
        <w:t xml:space="preserve">in the sense discussed above do so in a way that ultimately trivializes the academic responsibility to exercise judgement. They adopt the position of a nature documentary that doesn’t judge the lion for devouring the zebra, and only </w:t>
      </w:r>
      <w:r w:rsidR="000A2E60">
        <w:rPr>
          <w:i/>
          <w:iCs/>
          <w:sz w:val="22"/>
          <w:szCs w:val="22"/>
          <w:lang w:val="en-US"/>
        </w:rPr>
        <w:t>ponders</w:t>
      </w:r>
      <w:r w:rsidR="00233C79">
        <w:rPr>
          <w:i/>
          <w:iCs/>
          <w:sz w:val="22"/>
          <w:szCs w:val="22"/>
          <w:lang w:val="en-US"/>
        </w:rPr>
        <w:t xml:space="preserve"> “the laws of nature” thus revealed. Neutrality is here invoked as an external (cognitive) imperative that</w:t>
      </w:r>
      <w:r>
        <w:rPr>
          <w:i/>
          <w:iCs/>
          <w:sz w:val="22"/>
          <w:szCs w:val="22"/>
          <w:lang w:val="en-US"/>
        </w:rPr>
        <w:t xml:space="preserve"> imposes itself in ways that</w:t>
      </w:r>
      <w:r w:rsidR="00233C79">
        <w:rPr>
          <w:i/>
          <w:iCs/>
          <w:sz w:val="22"/>
          <w:szCs w:val="22"/>
          <w:lang w:val="en-US"/>
        </w:rPr>
        <w:t xml:space="preserve"> preclude both </w:t>
      </w:r>
      <w:r>
        <w:rPr>
          <w:i/>
          <w:iCs/>
          <w:sz w:val="22"/>
          <w:szCs w:val="22"/>
          <w:lang w:val="en-US"/>
        </w:rPr>
        <w:t xml:space="preserve">judgement and action. </w:t>
      </w:r>
    </w:p>
    <w:p w14:paraId="209A0B9C" w14:textId="77777777" w:rsidR="001541C7" w:rsidRDefault="001541C7" w:rsidP="002B518A">
      <w:pPr>
        <w:jc w:val="both"/>
        <w:rPr>
          <w:i/>
          <w:iCs/>
          <w:sz w:val="22"/>
          <w:szCs w:val="22"/>
          <w:lang w:val="en-US"/>
        </w:rPr>
      </w:pPr>
    </w:p>
    <w:p w14:paraId="226B1A44" w14:textId="7E107BD1" w:rsidR="002B518A" w:rsidRDefault="002B518A" w:rsidP="002B518A">
      <w:pPr>
        <w:jc w:val="both"/>
        <w:rPr>
          <w:i/>
          <w:iCs/>
          <w:sz w:val="22"/>
          <w:szCs w:val="22"/>
          <w:lang w:val="en-US"/>
        </w:rPr>
      </w:pPr>
      <w:r>
        <w:rPr>
          <w:i/>
          <w:iCs/>
          <w:sz w:val="22"/>
          <w:szCs w:val="22"/>
          <w:lang w:val="en-US"/>
        </w:rPr>
        <w:t xml:space="preserve">Fortunately, there is a more useful way to </w:t>
      </w:r>
      <w:r w:rsidR="00233C79">
        <w:rPr>
          <w:i/>
          <w:iCs/>
          <w:sz w:val="22"/>
          <w:szCs w:val="22"/>
          <w:lang w:val="en-US"/>
        </w:rPr>
        <w:t>approach the problem</w:t>
      </w:r>
      <w:r>
        <w:rPr>
          <w:i/>
          <w:iCs/>
          <w:sz w:val="22"/>
          <w:szCs w:val="22"/>
          <w:lang w:val="en-US"/>
        </w:rPr>
        <w:t xml:space="preserve">: consider, by way of analogy, </w:t>
      </w:r>
      <w:r>
        <w:rPr>
          <w:i/>
          <w:iCs/>
          <w:sz w:val="22"/>
          <w:szCs w:val="22"/>
          <w:lang w:val="en-US"/>
        </w:rPr>
        <w:t>the neutrality of the referee in a football match, for whom the principl</w:t>
      </w:r>
      <w:r w:rsidR="00233C79">
        <w:rPr>
          <w:i/>
          <w:iCs/>
          <w:sz w:val="22"/>
          <w:szCs w:val="22"/>
          <w:lang w:val="en-US"/>
        </w:rPr>
        <w:t>e</w:t>
      </w:r>
      <w:r>
        <w:rPr>
          <w:i/>
          <w:iCs/>
          <w:sz w:val="22"/>
          <w:szCs w:val="22"/>
          <w:lang w:val="en-US"/>
        </w:rPr>
        <w:t xml:space="preserve"> imposes a</w:t>
      </w:r>
      <w:r>
        <w:rPr>
          <w:i/>
          <w:iCs/>
          <w:sz w:val="22"/>
          <w:szCs w:val="22"/>
          <w:lang w:val="en-US"/>
        </w:rPr>
        <w:t xml:space="preserve"> positive</w:t>
      </w:r>
      <w:r>
        <w:rPr>
          <w:i/>
          <w:iCs/>
          <w:sz w:val="22"/>
          <w:szCs w:val="22"/>
          <w:lang w:val="en-US"/>
        </w:rPr>
        <w:t xml:space="preserve"> responsibility of</w:t>
      </w:r>
      <w:r>
        <w:rPr>
          <w:i/>
          <w:iCs/>
          <w:sz w:val="22"/>
          <w:szCs w:val="22"/>
          <w:lang w:val="en-US"/>
        </w:rPr>
        <w:t xml:space="preserve"> both</w:t>
      </w:r>
      <w:r>
        <w:rPr>
          <w:i/>
          <w:iCs/>
          <w:sz w:val="22"/>
          <w:szCs w:val="22"/>
          <w:lang w:val="en-US"/>
        </w:rPr>
        <w:t xml:space="preserve"> judgement and actio</w:t>
      </w:r>
      <w:r w:rsidR="00233C79">
        <w:rPr>
          <w:i/>
          <w:iCs/>
          <w:sz w:val="22"/>
          <w:szCs w:val="22"/>
          <w:lang w:val="en-US"/>
        </w:rPr>
        <w:t>n.</w:t>
      </w:r>
      <w:r w:rsidR="00233C79" w:rsidRPr="00233C79">
        <w:rPr>
          <w:i/>
          <w:iCs/>
          <w:sz w:val="22"/>
          <w:szCs w:val="22"/>
          <w:lang w:val="en-US"/>
        </w:rPr>
        <w:t xml:space="preserve"> </w:t>
      </w:r>
      <w:r w:rsidR="00233C79">
        <w:rPr>
          <w:i/>
          <w:iCs/>
          <w:sz w:val="22"/>
          <w:szCs w:val="22"/>
          <w:lang w:val="en-US"/>
        </w:rPr>
        <w:t xml:space="preserve">Rather than situating neutrality as an external value, imposed from outside, it </w:t>
      </w:r>
      <w:r w:rsidR="00233C79">
        <w:rPr>
          <w:i/>
          <w:iCs/>
          <w:sz w:val="22"/>
          <w:szCs w:val="22"/>
          <w:lang w:val="en-US"/>
        </w:rPr>
        <w:t>is exercised</w:t>
      </w:r>
      <w:r w:rsidR="00233C79">
        <w:rPr>
          <w:i/>
          <w:iCs/>
          <w:sz w:val="22"/>
          <w:szCs w:val="22"/>
          <w:lang w:val="en-US"/>
        </w:rPr>
        <w:t xml:space="preserve"> within a field of practice, and within recognized “rules of the game.”</w:t>
      </w:r>
      <w:r w:rsidR="001541C7">
        <w:rPr>
          <w:i/>
          <w:iCs/>
          <w:sz w:val="22"/>
          <w:szCs w:val="22"/>
          <w:lang w:val="en-US"/>
        </w:rPr>
        <w:t xml:space="preserve"> </w:t>
      </w:r>
      <w:r w:rsidR="00233C79" w:rsidRPr="00EF1243">
        <w:rPr>
          <w:i/>
          <w:iCs/>
          <w:sz w:val="22"/>
          <w:szCs w:val="22"/>
          <w:lang w:val="en-US"/>
        </w:rPr>
        <w:t xml:space="preserve">As Hannah Arendt noted in her </w:t>
      </w:r>
      <w:r w:rsidR="00233C79" w:rsidRPr="00233C79">
        <w:rPr>
          <w:sz w:val="22"/>
          <w:szCs w:val="22"/>
          <w:lang w:val="en-US"/>
        </w:rPr>
        <w:t>Lectures on Kant’s Political Philosophy</w:t>
      </w:r>
      <w:r w:rsidR="00233C79" w:rsidRPr="00EF1243">
        <w:rPr>
          <w:i/>
          <w:iCs/>
          <w:sz w:val="22"/>
          <w:szCs w:val="22"/>
          <w:lang w:val="en-US"/>
        </w:rPr>
        <w:t>, “</w:t>
      </w:r>
      <w:r w:rsidR="00233C79" w:rsidRPr="00EF1243">
        <w:rPr>
          <w:i/>
          <w:iCs/>
          <w:sz w:val="22"/>
          <w:szCs w:val="22"/>
        </w:rPr>
        <w:t>In Kant judgement emerges as a particular talent which can be practiced only and not taught</w:t>
      </w:r>
      <w:r w:rsidR="00233C79" w:rsidRPr="00EF1243">
        <w:rPr>
          <w:i/>
          <w:iCs/>
          <w:sz w:val="22"/>
          <w:szCs w:val="22"/>
          <w:lang w:val="en-US"/>
        </w:rPr>
        <w:t xml:space="preserve">.” </w:t>
      </w:r>
      <w:r w:rsidR="00233C79">
        <w:rPr>
          <w:i/>
          <w:iCs/>
          <w:sz w:val="22"/>
          <w:szCs w:val="22"/>
          <w:lang w:val="en-US"/>
        </w:rPr>
        <w:t>Similarly</w:t>
      </w:r>
      <w:r w:rsidR="00233C79">
        <w:rPr>
          <w:i/>
          <w:iCs/>
          <w:sz w:val="22"/>
          <w:szCs w:val="22"/>
          <w:lang w:val="en-US"/>
        </w:rPr>
        <w:t xml:space="preserve">, </w:t>
      </w:r>
      <w:r w:rsidR="00233C79">
        <w:rPr>
          <w:i/>
          <w:iCs/>
          <w:sz w:val="22"/>
          <w:szCs w:val="22"/>
          <w:lang w:val="en-US"/>
        </w:rPr>
        <w:t xml:space="preserve">academic </w:t>
      </w:r>
      <w:r w:rsidR="00233C79">
        <w:rPr>
          <w:i/>
          <w:iCs/>
          <w:sz w:val="22"/>
          <w:szCs w:val="22"/>
          <w:lang w:val="en-US"/>
        </w:rPr>
        <w:t xml:space="preserve">neutrality </w:t>
      </w:r>
      <w:r w:rsidR="00233C79">
        <w:rPr>
          <w:i/>
          <w:iCs/>
          <w:sz w:val="22"/>
          <w:szCs w:val="22"/>
          <w:lang w:val="en-US"/>
        </w:rPr>
        <w:t xml:space="preserve">should be understood </w:t>
      </w:r>
      <w:r w:rsidR="000A2E60">
        <w:rPr>
          <w:i/>
          <w:iCs/>
          <w:sz w:val="22"/>
          <w:szCs w:val="22"/>
          <w:lang w:val="en-US"/>
        </w:rPr>
        <w:t xml:space="preserve">not </w:t>
      </w:r>
      <w:r w:rsidR="00233C79">
        <w:rPr>
          <w:i/>
          <w:iCs/>
          <w:sz w:val="22"/>
          <w:szCs w:val="22"/>
          <w:lang w:val="en-US"/>
        </w:rPr>
        <w:t>as</w:t>
      </w:r>
      <w:r w:rsidR="00233C79">
        <w:rPr>
          <w:i/>
          <w:iCs/>
          <w:sz w:val="22"/>
          <w:szCs w:val="22"/>
          <w:lang w:val="en-US"/>
        </w:rPr>
        <w:t xml:space="preserve"> a position, but</w:t>
      </w:r>
      <w:r w:rsidR="00233C79">
        <w:rPr>
          <w:i/>
          <w:iCs/>
          <w:sz w:val="22"/>
          <w:szCs w:val="22"/>
          <w:lang w:val="en-US"/>
        </w:rPr>
        <w:t xml:space="preserve"> as</w:t>
      </w:r>
      <w:r w:rsidR="00233C79">
        <w:rPr>
          <w:i/>
          <w:iCs/>
          <w:sz w:val="22"/>
          <w:szCs w:val="22"/>
          <w:lang w:val="en-US"/>
        </w:rPr>
        <w:t xml:space="preserve"> a practice</w:t>
      </w:r>
      <w:r w:rsidR="00233C79">
        <w:rPr>
          <w:i/>
          <w:iCs/>
          <w:sz w:val="22"/>
          <w:szCs w:val="22"/>
          <w:lang w:val="en-US"/>
        </w:rPr>
        <w:t>—</w:t>
      </w:r>
      <w:r w:rsidR="00233C79">
        <w:rPr>
          <w:i/>
          <w:iCs/>
          <w:sz w:val="22"/>
          <w:szCs w:val="22"/>
          <w:lang w:val="en-US"/>
        </w:rPr>
        <w:t>a disposition and ability that must be exercised</w:t>
      </w:r>
      <w:r w:rsidR="00FE2D78">
        <w:rPr>
          <w:i/>
          <w:iCs/>
          <w:sz w:val="22"/>
          <w:szCs w:val="22"/>
          <w:lang w:val="en-US"/>
        </w:rPr>
        <w:t>, articulated and understood</w:t>
      </w:r>
      <w:r w:rsidR="00233C79">
        <w:rPr>
          <w:i/>
          <w:iCs/>
          <w:sz w:val="22"/>
          <w:szCs w:val="22"/>
          <w:lang w:val="en-US"/>
        </w:rPr>
        <w:t xml:space="preserve"> in function of judgement</w:t>
      </w:r>
      <w:r w:rsidR="000A2E60">
        <w:rPr>
          <w:i/>
          <w:iCs/>
          <w:sz w:val="22"/>
          <w:szCs w:val="22"/>
          <w:lang w:val="en-US"/>
        </w:rPr>
        <w:t xml:space="preserve"> if it is to appear in any meaningful way</w:t>
      </w:r>
      <w:r>
        <w:rPr>
          <w:i/>
          <w:iCs/>
          <w:sz w:val="22"/>
          <w:szCs w:val="22"/>
          <w:lang w:val="en-US"/>
        </w:rPr>
        <w:t>.</w:t>
      </w:r>
      <w:r w:rsidR="00233C79">
        <w:rPr>
          <w:i/>
          <w:iCs/>
          <w:sz w:val="22"/>
          <w:szCs w:val="22"/>
          <w:lang w:val="en-US"/>
        </w:rPr>
        <w:t xml:space="preserve"> Through the talk and subsequent discussion, we will put this disposition to work in the context of ongoing events in Gaza</w:t>
      </w:r>
      <w:r w:rsidR="00FE2D78">
        <w:rPr>
          <w:i/>
          <w:iCs/>
          <w:sz w:val="22"/>
          <w:szCs w:val="22"/>
          <w:lang w:val="en-US"/>
        </w:rPr>
        <w:t xml:space="preserve"> and consider what it</w:t>
      </w:r>
      <w:r w:rsidR="000A2E60">
        <w:rPr>
          <w:i/>
          <w:iCs/>
          <w:sz w:val="22"/>
          <w:szCs w:val="22"/>
          <w:lang w:val="en-US"/>
        </w:rPr>
        <w:t xml:space="preserve"> might</w:t>
      </w:r>
      <w:r w:rsidR="00FE2D78">
        <w:rPr>
          <w:i/>
          <w:iCs/>
          <w:sz w:val="22"/>
          <w:szCs w:val="22"/>
          <w:lang w:val="en-US"/>
        </w:rPr>
        <w:t xml:space="preserve"> imp</w:t>
      </w:r>
      <w:r w:rsidR="000A2E60">
        <w:rPr>
          <w:i/>
          <w:iCs/>
          <w:sz w:val="22"/>
          <w:szCs w:val="22"/>
          <w:lang w:val="en-US"/>
        </w:rPr>
        <w:t>ly</w:t>
      </w:r>
      <w:r w:rsidR="00FE2D78">
        <w:rPr>
          <w:i/>
          <w:iCs/>
          <w:sz w:val="22"/>
          <w:szCs w:val="22"/>
          <w:lang w:val="en-US"/>
        </w:rPr>
        <w:t xml:space="preserve"> for our responsibilities as members of the</w:t>
      </w:r>
      <w:r w:rsidR="000A2E60">
        <w:rPr>
          <w:i/>
          <w:iCs/>
          <w:sz w:val="22"/>
          <w:szCs w:val="22"/>
          <w:lang w:val="en-US"/>
        </w:rPr>
        <w:t xml:space="preserve"> global</w:t>
      </w:r>
      <w:r w:rsidR="00FE2D78">
        <w:rPr>
          <w:i/>
          <w:iCs/>
          <w:sz w:val="22"/>
          <w:szCs w:val="22"/>
          <w:lang w:val="en-US"/>
        </w:rPr>
        <w:t xml:space="preserve"> academic community.</w:t>
      </w:r>
    </w:p>
    <w:p w14:paraId="7D8DAE95" w14:textId="4F349C68" w:rsidR="002B518A" w:rsidRDefault="002B518A" w:rsidP="002B518A">
      <w:pPr>
        <w:jc w:val="both"/>
        <w:rPr>
          <w:i/>
          <w:iCs/>
          <w:sz w:val="22"/>
          <w:szCs w:val="22"/>
          <w:lang w:val="en-US"/>
        </w:rPr>
      </w:pPr>
    </w:p>
    <w:p w14:paraId="61A3B687" w14:textId="77777777" w:rsidR="002B518A" w:rsidRPr="00EF1243" w:rsidRDefault="002B518A" w:rsidP="002B518A">
      <w:pPr>
        <w:jc w:val="both"/>
        <w:rPr>
          <w:i/>
          <w:iCs/>
          <w:sz w:val="22"/>
          <w:szCs w:val="22"/>
          <w:lang w:val="en-US"/>
        </w:rPr>
      </w:pPr>
    </w:p>
    <w:p w14:paraId="3BE75EDE" w14:textId="609E4C48" w:rsidR="002B518A" w:rsidRDefault="002B518A">
      <w:pPr>
        <w:rPr>
          <w:i/>
          <w:iCs/>
          <w:sz w:val="22"/>
          <w:szCs w:val="22"/>
          <w:lang w:val="en-US"/>
        </w:rPr>
      </w:pPr>
      <w:r w:rsidRPr="002B518A">
        <w:rPr>
          <w:b/>
          <w:bCs/>
          <w:i/>
          <w:iCs/>
          <w:sz w:val="22"/>
          <w:szCs w:val="22"/>
          <w:lang w:val="en-US"/>
        </w:rPr>
        <w:t>Bio</w:t>
      </w:r>
      <w:r>
        <w:rPr>
          <w:b/>
          <w:bCs/>
          <w:i/>
          <w:iCs/>
          <w:sz w:val="22"/>
          <w:szCs w:val="22"/>
          <w:lang w:val="en-US"/>
        </w:rPr>
        <w:t>:</w:t>
      </w:r>
    </w:p>
    <w:p w14:paraId="6EB27C00" w14:textId="2F278544" w:rsidR="002B518A" w:rsidRPr="002B518A" w:rsidRDefault="002B518A" w:rsidP="002B518A">
      <w:pPr>
        <w:rPr>
          <w:i/>
          <w:iCs/>
          <w:sz w:val="22"/>
          <w:szCs w:val="22"/>
          <w:lang w:val="en-US"/>
        </w:rPr>
      </w:pPr>
      <w:r w:rsidRPr="002B518A">
        <w:rPr>
          <w:i/>
          <w:iCs/>
          <w:sz w:val="22"/>
          <w:szCs w:val="22"/>
          <w:lang w:val="en-US"/>
        </w:rPr>
        <w:t xml:space="preserve">Prof. dr. Christopher Parker is a political theorist based at the Department of Conflict and Development Studies at Ghent University, Belgium. He is affiliated with the Middle East and North Africa Research Group and the Ghent Center for World Studies. </w:t>
      </w:r>
      <w:r w:rsidR="00CE3902" w:rsidRPr="00CE3902">
        <w:rPr>
          <w:i/>
          <w:iCs/>
          <w:sz w:val="22"/>
          <w:szCs w:val="22"/>
          <w:lang w:val="en-US"/>
        </w:rPr>
        <w:t>From 2015-2022, he served as co-director of the international “</w:t>
      </w:r>
      <w:proofErr w:type="gramStart"/>
      <w:r w:rsidR="00CE3902" w:rsidRPr="00CE3902">
        <w:rPr>
          <w:i/>
          <w:iCs/>
          <w:sz w:val="22"/>
          <w:szCs w:val="22"/>
          <w:lang w:val="en-US"/>
        </w:rPr>
        <w:t>Bachelor in Social Sciences</w:t>
      </w:r>
      <w:proofErr w:type="gramEnd"/>
      <w:r w:rsidR="00CE3902" w:rsidRPr="00CE3902">
        <w:rPr>
          <w:i/>
          <w:iCs/>
          <w:sz w:val="22"/>
          <w:szCs w:val="22"/>
          <w:lang w:val="en-US"/>
        </w:rPr>
        <w:t xml:space="preserve">” program, a joint </w:t>
      </w:r>
      <w:r w:rsidR="00CE3902" w:rsidRPr="00CE3902">
        <w:rPr>
          <w:i/>
          <w:iCs/>
          <w:sz w:val="22"/>
          <w:szCs w:val="22"/>
          <w:lang w:val="en-US"/>
        </w:rPr>
        <w:lastRenderedPageBreak/>
        <w:t>initiative of Ghent University and the Free University of Brussels. He is currently responsible for four courses: “Communicating Scientific Knowledge” (a writing-based introduction to critical thinking and philosophy of science); “Critical Thinking in Political Science”; “Politics and Society in a Global World” (this year and last organized around the theme of “Global Palestine”) and “</w:t>
      </w:r>
      <w:proofErr w:type="gramStart"/>
      <w:r w:rsidR="00CE3902" w:rsidRPr="00CE3902">
        <w:rPr>
          <w:i/>
          <w:iCs/>
          <w:sz w:val="22"/>
          <w:szCs w:val="22"/>
          <w:lang w:val="en-US"/>
        </w:rPr>
        <w:t>Master’s</w:t>
      </w:r>
      <w:proofErr w:type="gramEnd"/>
      <w:r w:rsidR="00CE3902" w:rsidRPr="00CE3902">
        <w:rPr>
          <w:i/>
          <w:iCs/>
          <w:sz w:val="22"/>
          <w:szCs w:val="22"/>
          <w:lang w:val="en-US"/>
        </w:rPr>
        <w:t xml:space="preserve"> Dissertation II: Advanced Research Seminar in Global Studies.”</w:t>
      </w:r>
    </w:p>
    <w:p w14:paraId="504BFFB0" w14:textId="77777777" w:rsidR="002B518A" w:rsidRPr="002B518A" w:rsidRDefault="002B518A" w:rsidP="002B518A">
      <w:pPr>
        <w:rPr>
          <w:i/>
          <w:iCs/>
          <w:sz w:val="22"/>
          <w:szCs w:val="22"/>
          <w:lang w:val="en-US"/>
        </w:rPr>
      </w:pPr>
    </w:p>
    <w:p w14:paraId="54BA1461" w14:textId="77777777" w:rsidR="002B518A" w:rsidRPr="002B518A" w:rsidRDefault="002B518A" w:rsidP="002B518A">
      <w:pPr>
        <w:rPr>
          <w:i/>
          <w:iCs/>
          <w:sz w:val="22"/>
          <w:szCs w:val="22"/>
          <w:lang w:val="en-US"/>
        </w:rPr>
      </w:pPr>
      <w:r w:rsidRPr="002B518A">
        <w:rPr>
          <w:i/>
          <w:iCs/>
          <w:sz w:val="22"/>
          <w:szCs w:val="22"/>
          <w:lang w:val="en-US"/>
        </w:rPr>
        <w:t xml:space="preserve">Parker’s research focuses on “power-in-practice,” investigating how power arises from—and finds its political possibilities determined by—practical (sociotechnical, ecological, historical and, ultimately, “more-than-human”) arrangements of collective life. His early work focused on efforts to engineer foundations of [neo]liberal government in Palestine (after 1993), Iraq (after 2003) and Jordan (after 2006), and on the forms of “popular politics” and resistance that emerged in response to these “technopolitical” initiatives. </w:t>
      </w:r>
    </w:p>
    <w:p w14:paraId="58E5ACAD" w14:textId="77777777" w:rsidR="002B518A" w:rsidRPr="002B518A" w:rsidRDefault="002B518A" w:rsidP="002B518A">
      <w:pPr>
        <w:rPr>
          <w:i/>
          <w:iCs/>
          <w:sz w:val="22"/>
          <w:szCs w:val="22"/>
          <w:lang w:val="en-US"/>
        </w:rPr>
      </w:pPr>
    </w:p>
    <w:p w14:paraId="0958E4D8" w14:textId="3C6D2C3A" w:rsidR="002B518A" w:rsidRPr="002B518A" w:rsidRDefault="002B518A" w:rsidP="002B518A">
      <w:pPr>
        <w:rPr>
          <w:i/>
          <w:iCs/>
          <w:sz w:val="22"/>
          <w:szCs w:val="22"/>
          <w:lang w:val="en-US"/>
        </w:rPr>
      </w:pPr>
      <w:r w:rsidRPr="002B518A">
        <w:rPr>
          <w:i/>
          <w:iCs/>
          <w:sz w:val="22"/>
          <w:szCs w:val="22"/>
          <w:lang w:val="en-US"/>
        </w:rPr>
        <w:t xml:space="preserve">During the past decade, Parker has supervised fifteen competitively funded research projects, </w:t>
      </w:r>
      <w:r w:rsidRPr="002B518A">
        <w:rPr>
          <w:i/>
          <w:iCs/>
          <w:sz w:val="22"/>
          <w:szCs w:val="22"/>
          <w:lang w:val="en-US"/>
        </w:rPr>
        <w:t>each of which involve tracing</w:t>
      </w:r>
      <w:r w:rsidRPr="002B518A">
        <w:rPr>
          <w:i/>
          <w:iCs/>
          <w:sz w:val="22"/>
          <w:szCs w:val="22"/>
          <w:lang w:val="en-US"/>
        </w:rPr>
        <w:t xml:space="preserve"> a key genealogy of liberal political thought and practice. Indeed: the investigation of</w:t>
      </w:r>
      <w:r w:rsidR="00FE2D78">
        <w:rPr>
          <w:i/>
          <w:iCs/>
          <w:sz w:val="22"/>
          <w:szCs w:val="22"/>
          <w:lang w:val="en-US"/>
        </w:rPr>
        <w:t xml:space="preserve"> p</w:t>
      </w:r>
      <w:r w:rsidRPr="002B518A">
        <w:rPr>
          <w:i/>
          <w:iCs/>
          <w:sz w:val="22"/>
          <w:szCs w:val="22"/>
          <w:lang w:val="en-US"/>
        </w:rPr>
        <w:t>ower-in-practice points to the colonial underbelly of “global knowledge,” and to the constitutive entanglement of scientific knowledge and political power/interest more generally. It also draws attention to the performativity of scientific discourse, raising questions about the positionality (and responsibilities) of the scientific observer. Via an exposition of the problem of “academic neutrality” as it might apply to an account of ongoing events in Gaza, these issues will provide the backdrop for Parker’s contribution</w:t>
      </w:r>
      <w:r w:rsidRPr="002B518A">
        <w:rPr>
          <w:i/>
          <w:iCs/>
          <w:sz w:val="22"/>
          <w:szCs w:val="22"/>
          <w:lang w:val="en-US"/>
        </w:rPr>
        <w:t>.</w:t>
      </w:r>
    </w:p>
    <w:sectPr w:rsidR="002B518A" w:rsidRPr="002B51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1E02B" w14:textId="77777777" w:rsidR="004F64A9" w:rsidRDefault="004F64A9" w:rsidP="002B518A">
      <w:r>
        <w:separator/>
      </w:r>
    </w:p>
  </w:endnote>
  <w:endnote w:type="continuationSeparator" w:id="0">
    <w:p w14:paraId="479ED49B" w14:textId="77777777" w:rsidR="004F64A9" w:rsidRDefault="004F64A9" w:rsidP="002B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B44C7" w14:textId="77777777" w:rsidR="004F64A9" w:rsidRDefault="004F64A9" w:rsidP="002B518A">
      <w:r>
        <w:separator/>
      </w:r>
    </w:p>
  </w:footnote>
  <w:footnote w:type="continuationSeparator" w:id="0">
    <w:p w14:paraId="3FA6A8EB" w14:textId="77777777" w:rsidR="004F64A9" w:rsidRDefault="004F64A9" w:rsidP="002B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C6846"/>
    <w:multiLevelType w:val="hybridMultilevel"/>
    <w:tmpl w:val="16EE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26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8A"/>
    <w:rsid w:val="000A2E60"/>
    <w:rsid w:val="001541C7"/>
    <w:rsid w:val="00233C79"/>
    <w:rsid w:val="00263326"/>
    <w:rsid w:val="002804E1"/>
    <w:rsid w:val="002B518A"/>
    <w:rsid w:val="003727AD"/>
    <w:rsid w:val="004F64A9"/>
    <w:rsid w:val="00903376"/>
    <w:rsid w:val="00A55E40"/>
    <w:rsid w:val="00A96840"/>
    <w:rsid w:val="00C6658A"/>
    <w:rsid w:val="00C86E1E"/>
    <w:rsid w:val="00CE3902"/>
    <w:rsid w:val="00D821C3"/>
    <w:rsid w:val="00FE2D7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23E9FF6"/>
  <w15:chartTrackingRefBased/>
  <w15:docId w15:val="{9493AA14-7217-384F-96B8-2C34BE92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8A"/>
  </w:style>
  <w:style w:type="paragraph" w:styleId="Heading1">
    <w:name w:val="heading 1"/>
    <w:basedOn w:val="Normal"/>
    <w:next w:val="Normal"/>
    <w:link w:val="Heading1Char"/>
    <w:uiPriority w:val="9"/>
    <w:qFormat/>
    <w:rsid w:val="002B5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1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1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1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1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18A"/>
    <w:rPr>
      <w:rFonts w:eastAsiaTheme="majorEastAsia" w:cstheme="majorBidi"/>
      <w:color w:val="272727" w:themeColor="text1" w:themeTint="D8"/>
    </w:rPr>
  </w:style>
  <w:style w:type="paragraph" w:styleId="Title">
    <w:name w:val="Title"/>
    <w:basedOn w:val="Normal"/>
    <w:next w:val="Normal"/>
    <w:link w:val="TitleChar"/>
    <w:uiPriority w:val="10"/>
    <w:qFormat/>
    <w:rsid w:val="002B51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1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1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18A"/>
    <w:rPr>
      <w:i/>
      <w:iCs/>
      <w:color w:val="404040" w:themeColor="text1" w:themeTint="BF"/>
    </w:rPr>
  </w:style>
  <w:style w:type="paragraph" w:styleId="ListParagraph">
    <w:name w:val="List Paragraph"/>
    <w:basedOn w:val="Normal"/>
    <w:uiPriority w:val="34"/>
    <w:qFormat/>
    <w:rsid w:val="002B518A"/>
    <w:pPr>
      <w:ind w:left="720"/>
      <w:contextualSpacing/>
    </w:pPr>
  </w:style>
  <w:style w:type="character" w:styleId="IntenseEmphasis">
    <w:name w:val="Intense Emphasis"/>
    <w:basedOn w:val="DefaultParagraphFont"/>
    <w:uiPriority w:val="21"/>
    <w:qFormat/>
    <w:rsid w:val="002B518A"/>
    <w:rPr>
      <w:i/>
      <w:iCs/>
      <w:color w:val="0F4761" w:themeColor="accent1" w:themeShade="BF"/>
    </w:rPr>
  </w:style>
  <w:style w:type="paragraph" w:styleId="IntenseQuote">
    <w:name w:val="Intense Quote"/>
    <w:basedOn w:val="Normal"/>
    <w:next w:val="Normal"/>
    <w:link w:val="IntenseQuoteChar"/>
    <w:uiPriority w:val="30"/>
    <w:qFormat/>
    <w:rsid w:val="002B5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18A"/>
    <w:rPr>
      <w:i/>
      <w:iCs/>
      <w:color w:val="0F4761" w:themeColor="accent1" w:themeShade="BF"/>
    </w:rPr>
  </w:style>
  <w:style w:type="character" w:styleId="IntenseReference">
    <w:name w:val="Intense Reference"/>
    <w:basedOn w:val="DefaultParagraphFont"/>
    <w:uiPriority w:val="32"/>
    <w:qFormat/>
    <w:rsid w:val="002B518A"/>
    <w:rPr>
      <w:b/>
      <w:bCs/>
      <w:smallCaps/>
      <w:color w:val="0F4761" w:themeColor="accent1" w:themeShade="BF"/>
      <w:spacing w:val="5"/>
    </w:rPr>
  </w:style>
  <w:style w:type="paragraph" w:styleId="FootnoteText">
    <w:name w:val="footnote text"/>
    <w:basedOn w:val="Normal"/>
    <w:link w:val="FootnoteTextChar"/>
    <w:uiPriority w:val="99"/>
    <w:semiHidden/>
    <w:unhideWhenUsed/>
    <w:rsid w:val="002B518A"/>
    <w:rPr>
      <w:sz w:val="20"/>
      <w:szCs w:val="20"/>
    </w:rPr>
  </w:style>
  <w:style w:type="character" w:customStyle="1" w:styleId="FootnoteTextChar">
    <w:name w:val="Footnote Text Char"/>
    <w:basedOn w:val="DefaultParagraphFont"/>
    <w:link w:val="FootnoteText"/>
    <w:uiPriority w:val="99"/>
    <w:semiHidden/>
    <w:rsid w:val="002B518A"/>
    <w:rPr>
      <w:sz w:val="20"/>
      <w:szCs w:val="20"/>
    </w:rPr>
  </w:style>
  <w:style w:type="character" w:styleId="FootnoteReference">
    <w:name w:val="footnote reference"/>
    <w:basedOn w:val="DefaultParagraphFont"/>
    <w:uiPriority w:val="99"/>
    <w:semiHidden/>
    <w:unhideWhenUsed/>
    <w:rsid w:val="002B5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Parker</dc:creator>
  <cp:keywords/>
  <dc:description/>
  <cp:lastModifiedBy>Christopher Parker</cp:lastModifiedBy>
  <cp:revision>10</cp:revision>
  <cp:lastPrinted>2024-11-05T16:12:00Z</cp:lastPrinted>
  <dcterms:created xsi:type="dcterms:W3CDTF">2024-11-05T11:34:00Z</dcterms:created>
  <dcterms:modified xsi:type="dcterms:W3CDTF">2024-11-06T16:40:00Z</dcterms:modified>
</cp:coreProperties>
</file>